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41" w:rsidRDefault="002C07D7">
      <w:pPr>
        <w:tabs>
          <w:tab w:val="left" w:pos="-1440"/>
        </w:tabs>
        <w:ind w:left="1440" w:hanging="1440"/>
      </w:pPr>
      <w:r>
        <w:t>Daniel Levin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POLS 5212</w:t>
      </w:r>
    </w:p>
    <w:p w:rsidR="00AA4541" w:rsidRDefault="002C07D7">
      <w:r>
        <w:t>Civil Rights/</w:t>
      </w:r>
      <w:r w:rsidRPr="002C07D7">
        <w:t>Civil Liberties</w:t>
      </w:r>
      <w:r w:rsidR="00AA4541">
        <w:tab/>
      </w:r>
      <w:r w:rsidR="00AA4541">
        <w:tab/>
      </w:r>
      <w:r w:rsidR="00AA4541">
        <w:tab/>
      </w:r>
      <w:r w:rsidR="00AA4541">
        <w:tab/>
      </w:r>
      <w:r w:rsidR="00AA4541">
        <w:tab/>
      </w:r>
      <w:r>
        <w:tab/>
      </w:r>
      <w:r w:rsidR="00AA4541">
        <w:tab/>
      </w:r>
      <w:r w:rsidR="00E4364A">
        <w:t>Spring 20</w:t>
      </w:r>
      <w:r w:rsidR="005C21CE">
        <w:t>10</w:t>
      </w:r>
    </w:p>
    <w:p w:rsidR="00AA4541" w:rsidRDefault="00AA4541"/>
    <w:p w:rsidR="00AA4541" w:rsidRDefault="00AA4541">
      <w:pPr>
        <w:ind w:firstLine="2880"/>
      </w:pPr>
    </w:p>
    <w:p w:rsidR="00AA4541" w:rsidRPr="00A83ED9" w:rsidRDefault="00A83ED9" w:rsidP="00A83ED9">
      <w:pPr>
        <w:jc w:val="center"/>
        <w:rPr>
          <w:sz w:val="28"/>
          <w:szCs w:val="28"/>
        </w:rPr>
      </w:pPr>
      <w:r w:rsidRPr="00A83ED9">
        <w:rPr>
          <w:rFonts w:cs="Shruti"/>
          <w:b/>
          <w:sz w:val="28"/>
          <w:szCs w:val="28"/>
        </w:rPr>
        <w:t>Free Speech and its Dangers</w:t>
      </w:r>
    </w:p>
    <w:p w:rsidR="00AA4541" w:rsidRDefault="00AA4541"/>
    <w:p w:rsidR="00AA4541" w:rsidRDefault="00AA4541">
      <w:r>
        <w:rPr>
          <w:b/>
          <w:bCs/>
        </w:rPr>
        <w:t>Terms</w:t>
      </w:r>
      <w:r>
        <w:t>:</w:t>
      </w:r>
    </w:p>
    <w:p w:rsidR="00AA4541" w:rsidRDefault="00A83ED9">
      <w:r>
        <w:t>Seditious Libel</w:t>
      </w:r>
      <w:r>
        <w:tab/>
      </w:r>
      <w:r>
        <w:tab/>
      </w:r>
      <w:r>
        <w:tab/>
      </w:r>
      <w:r>
        <w:tab/>
        <w:t>Sedition</w:t>
      </w:r>
    </w:p>
    <w:p w:rsidR="00E434EF" w:rsidRDefault="00E434EF"/>
    <w:p w:rsidR="00A83ED9" w:rsidRDefault="00A83ED9">
      <w:r>
        <w:t>Libel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4EF">
        <w:t>Criminal syndicalism</w:t>
      </w:r>
    </w:p>
    <w:p w:rsidR="00E434EF" w:rsidRDefault="00E434EF"/>
    <w:p w:rsidR="00E434EF" w:rsidRDefault="00E434EF">
      <w:r>
        <w:t>Smith Act</w:t>
      </w:r>
      <w:r>
        <w:tab/>
      </w:r>
      <w:r>
        <w:tab/>
      </w:r>
      <w:r>
        <w:tab/>
      </w:r>
      <w:r>
        <w:tab/>
      </w:r>
      <w:r>
        <w:tab/>
        <w:t>clear and present danger</w:t>
      </w:r>
    </w:p>
    <w:p w:rsidR="00E434EF" w:rsidRDefault="00E434EF"/>
    <w:p w:rsidR="00E434EF" w:rsidRDefault="00E434EF">
      <w:r>
        <w:t>Bad tendency</w:t>
      </w:r>
      <w:r>
        <w:tab/>
      </w:r>
      <w:r>
        <w:tab/>
      </w:r>
      <w:r>
        <w:tab/>
      </w:r>
      <w:r>
        <w:tab/>
      </w:r>
      <w:r>
        <w:tab/>
      </w:r>
    </w:p>
    <w:p w:rsidR="00A83ED9" w:rsidRDefault="00A83ED9"/>
    <w:p w:rsidR="00771D0D" w:rsidRDefault="00771D0D" w:rsidP="005F5167">
      <w:pPr>
        <w:rPr>
          <w:b/>
          <w:bCs/>
        </w:rPr>
      </w:pPr>
    </w:p>
    <w:p w:rsidR="005F5167" w:rsidRDefault="005F5167" w:rsidP="005F5167">
      <w:r>
        <w:rPr>
          <w:b/>
          <w:bCs/>
        </w:rPr>
        <w:t>Assigned Cases:</w:t>
      </w:r>
    </w:p>
    <w:p w:rsidR="00AA4541" w:rsidRPr="00F42835" w:rsidRDefault="00A83ED9" w:rsidP="00A83ED9">
      <w:pPr>
        <w:widowControl/>
        <w:tabs>
          <w:tab w:val="left" w:pos="914"/>
          <w:tab w:val="left" w:pos="1634"/>
          <w:tab w:val="left" w:pos="4874"/>
          <w:tab w:val="left" w:pos="7394"/>
        </w:tabs>
        <w:spacing w:line="237" w:lineRule="auto"/>
        <w:jc w:val="both"/>
        <w:rPr>
          <w:rFonts w:cs="Shruti"/>
          <w:i/>
        </w:rPr>
      </w:pPr>
      <w:proofErr w:type="spellStart"/>
      <w:proofErr w:type="gramStart"/>
      <w:r w:rsidRPr="00F42835">
        <w:rPr>
          <w:rFonts w:cs="Shruti"/>
          <w:i/>
        </w:rPr>
        <w:t>Schenck</w:t>
      </w:r>
      <w:proofErr w:type="spellEnd"/>
      <w:r w:rsidRPr="00F42835">
        <w:rPr>
          <w:rFonts w:cs="Shruti"/>
          <w:i/>
        </w:rPr>
        <w:t xml:space="preserve"> v. U.S.;</w:t>
      </w:r>
      <w:r w:rsidR="00E4364A" w:rsidRPr="00F42835">
        <w:rPr>
          <w:i/>
          <w:iCs/>
        </w:rPr>
        <w:t xml:space="preserve"> Abrams v. U.S.;</w:t>
      </w:r>
      <w:r w:rsidRPr="00F42835">
        <w:rPr>
          <w:rFonts w:cs="Shruti"/>
          <w:i/>
        </w:rPr>
        <w:t xml:space="preserve"> </w:t>
      </w:r>
      <w:proofErr w:type="spellStart"/>
      <w:r w:rsidRPr="00F42835">
        <w:rPr>
          <w:rFonts w:cs="Shruti"/>
          <w:i/>
        </w:rPr>
        <w:t>Gitlow</w:t>
      </w:r>
      <w:proofErr w:type="spellEnd"/>
      <w:r w:rsidRPr="00F42835">
        <w:rPr>
          <w:rFonts w:cs="Shruti"/>
          <w:i/>
        </w:rPr>
        <w:t xml:space="preserve"> v.</w:t>
      </w:r>
      <w:proofErr w:type="gramEnd"/>
      <w:r w:rsidRPr="00F42835">
        <w:rPr>
          <w:rFonts w:cs="Shruti"/>
          <w:i/>
        </w:rPr>
        <w:t xml:space="preserve"> New York; De</w:t>
      </w:r>
      <w:r w:rsidR="00E4364A" w:rsidRPr="00F42835">
        <w:rPr>
          <w:rFonts w:cs="Shruti"/>
          <w:i/>
        </w:rPr>
        <w:t xml:space="preserve">nnis v. US; Brandenburg v. OH; </w:t>
      </w:r>
      <w:r w:rsidR="00E4364A" w:rsidRPr="00F42835">
        <w:rPr>
          <w:i/>
        </w:rPr>
        <w:t>Thomas v. Collins</w:t>
      </w:r>
      <w:r w:rsidR="005C21CE" w:rsidRPr="00F42835">
        <w:rPr>
          <w:i/>
        </w:rPr>
        <w:t xml:space="preserve">; </w:t>
      </w:r>
      <w:r w:rsidR="00495287" w:rsidRPr="00F42835">
        <w:rPr>
          <w:i/>
        </w:rPr>
        <w:t>Holder v. Humanitarian Law Project</w:t>
      </w:r>
    </w:p>
    <w:p w:rsidR="00E434EF" w:rsidRDefault="00E434EF"/>
    <w:p w:rsidR="00AA4541" w:rsidRDefault="00AA4541">
      <w:r>
        <w:rPr>
          <w:b/>
          <w:bCs/>
        </w:rPr>
        <w:t>Questions for Reading Assigned Cases:</w:t>
      </w:r>
    </w:p>
    <w:p w:rsidR="00AA4541" w:rsidRDefault="00E434EF" w:rsidP="00E434EF">
      <w:proofErr w:type="spellStart"/>
      <w:r w:rsidRPr="00E434EF">
        <w:rPr>
          <w:i/>
        </w:rPr>
        <w:t>Schenck</w:t>
      </w:r>
      <w:proofErr w:type="spellEnd"/>
      <w:r w:rsidRPr="00E434EF">
        <w:rPr>
          <w:i/>
        </w:rPr>
        <w:t xml:space="preserve"> v. U.S.</w:t>
      </w:r>
      <w:r>
        <w:t xml:space="preserve"> is most famous for Justice Holmes’ example of how it is properly illegal to falsely shout fire in a crowded theatre. Why is this example useful? When does it apply? What are the proper limits when applying it to political speech?</w:t>
      </w:r>
    </w:p>
    <w:p w:rsidR="00AA4541" w:rsidRDefault="00AA4541"/>
    <w:p w:rsidR="00E434EF" w:rsidRDefault="00E434EF">
      <w:r>
        <w:t xml:space="preserve">In </w:t>
      </w:r>
      <w:proofErr w:type="spellStart"/>
      <w:r w:rsidRPr="00E434EF">
        <w:rPr>
          <w:i/>
        </w:rPr>
        <w:t>Gitlow</w:t>
      </w:r>
      <w:proofErr w:type="spellEnd"/>
      <w:r w:rsidRPr="00E434EF">
        <w:rPr>
          <w:i/>
        </w:rPr>
        <w:t xml:space="preserve"> v. NY</w:t>
      </w:r>
      <w:r>
        <w:t xml:space="preserve">, the majority of the Court seemingly disdains the clear and present danger standard elaborated by Holmes in </w:t>
      </w:r>
      <w:proofErr w:type="spellStart"/>
      <w:r w:rsidRPr="00E434EF">
        <w:rPr>
          <w:i/>
        </w:rPr>
        <w:t>Schenck</w:t>
      </w:r>
      <w:proofErr w:type="spellEnd"/>
      <w:r>
        <w:t>. What is the new standard for when speech is unprotected? Is it an improvement or step away from freedom of speech?</w:t>
      </w:r>
    </w:p>
    <w:p w:rsidR="00E434EF" w:rsidRDefault="00E434EF"/>
    <w:p w:rsidR="00E434EF" w:rsidRDefault="00E434EF">
      <w:r>
        <w:t xml:space="preserve">Does the Court’s decision in </w:t>
      </w:r>
      <w:r w:rsidRPr="00E434EF">
        <w:rPr>
          <w:i/>
        </w:rPr>
        <w:t>Dennis v. U.S.</w:t>
      </w:r>
      <w:r>
        <w:t xml:space="preserve"> follow the clear and present danger test? </w:t>
      </w:r>
      <w:r w:rsidR="00B80641">
        <w:t xml:space="preserve">How does it </w:t>
      </w:r>
      <w:proofErr w:type="gramStart"/>
      <w:r w:rsidR="00B80641">
        <w:t>interpret</w:t>
      </w:r>
      <w:proofErr w:type="gramEnd"/>
      <w:r w:rsidR="00B80641">
        <w:t xml:space="preserve"> the test? Does the majority demonstrate a clear and present danger? What of the concurrences?</w:t>
      </w:r>
    </w:p>
    <w:p w:rsidR="00B80641" w:rsidRDefault="00B80641"/>
    <w:p w:rsidR="00B80641" w:rsidRDefault="00B80641">
      <w:r>
        <w:t xml:space="preserve">How is </w:t>
      </w:r>
      <w:r w:rsidRPr="00B80641">
        <w:rPr>
          <w:i/>
        </w:rPr>
        <w:t>Brandenburg v. Ohio</w:t>
      </w:r>
      <w:r>
        <w:t xml:space="preserve"> different from previous cases? How would it have been decided under previous standards? </w:t>
      </w:r>
    </w:p>
    <w:p w:rsidR="00F42835" w:rsidRDefault="00F42835"/>
    <w:p w:rsidR="00F42835" w:rsidRDefault="00AD2613">
      <w:r>
        <w:t xml:space="preserve">In </w:t>
      </w:r>
      <w:r w:rsidRPr="00F42835">
        <w:rPr>
          <w:i/>
        </w:rPr>
        <w:t>Holder v. Humanitarian Law Project</w:t>
      </w:r>
      <w:r>
        <w:t xml:space="preserve">, does sanctioning “training,” “expert advice or </w:t>
      </w:r>
      <w:r w:rsidRPr="00AD2613">
        <w:t>assista</w:t>
      </w:r>
      <w:r>
        <w:t>nce,” “personnel,” and “service</w:t>
      </w:r>
      <w:r w:rsidRPr="00AD2613">
        <w:t>”</w:t>
      </w:r>
      <w:r>
        <w:t xml:space="preserve"> rendered to a group labeled as terrorist by the State Dept. punish advocacy or is it a proper law that will lessen danger to the United States and our allies? Are terrorist groups only, and always, terrorist in their purposes – and should our treatment of speech depend on the purpose of the speech, or the parties to whom it is directed?</w:t>
      </w:r>
    </w:p>
    <w:p w:rsidR="00E434EF" w:rsidRDefault="00E434EF"/>
    <w:p w:rsidR="00AA4541" w:rsidRDefault="00AD2613">
      <w:r>
        <w:rPr>
          <w:b/>
          <w:bCs/>
        </w:rPr>
        <w:br w:type="page"/>
      </w:r>
      <w:r w:rsidR="00771D0D">
        <w:rPr>
          <w:b/>
          <w:bCs/>
        </w:rPr>
        <w:lastRenderedPageBreak/>
        <w:t xml:space="preserve">Additional </w:t>
      </w:r>
      <w:r w:rsidR="00AA4541">
        <w:rPr>
          <w:b/>
          <w:bCs/>
        </w:rPr>
        <w:t>Cases</w:t>
      </w:r>
      <w:r w:rsidR="00517E48">
        <w:t>:</w:t>
      </w:r>
    </w:p>
    <w:p w:rsidR="00AA4541" w:rsidRDefault="00AA4541"/>
    <w:p w:rsidR="00E434EF" w:rsidRPr="00B80641" w:rsidRDefault="00E434EF">
      <w:pPr>
        <w:rPr>
          <w:i/>
        </w:rPr>
      </w:pPr>
      <w:proofErr w:type="gramStart"/>
      <w:r w:rsidRPr="00B80641">
        <w:rPr>
          <w:i/>
        </w:rPr>
        <w:t>Yates v. U.S.</w:t>
      </w:r>
      <w:r w:rsidR="002F4ECF">
        <w:rPr>
          <w:i/>
        </w:rPr>
        <w:t xml:space="preserve"> </w:t>
      </w:r>
      <w:r w:rsidR="002F4ECF" w:rsidRPr="002F4ECF">
        <w:t>(1957).</w:t>
      </w:r>
      <w:proofErr w:type="gramEnd"/>
      <w:r w:rsidR="002F4ECF">
        <w:t xml:space="preserve"> The Court overturned the conviction of California Communist Party leaders by distinguishing between advocacy of abstract doctrine and advocacy of unlawful action, and requiring the latter for a criminal conviction.</w:t>
      </w:r>
    </w:p>
    <w:p w:rsidR="00E434EF" w:rsidRDefault="00E434EF"/>
    <w:p w:rsidR="00E434EF" w:rsidRPr="002F4ECF" w:rsidRDefault="00E434EF">
      <w:proofErr w:type="gramStart"/>
      <w:r w:rsidRPr="00B80641">
        <w:rPr>
          <w:i/>
        </w:rPr>
        <w:t>Scales v. U.S</w:t>
      </w:r>
      <w:r w:rsidRPr="002F4ECF">
        <w:t>.</w:t>
      </w:r>
      <w:r w:rsidR="002F4ECF" w:rsidRPr="002F4ECF">
        <w:t xml:space="preserve"> (1961)</w:t>
      </w:r>
      <w:r w:rsidR="002F4ECF">
        <w:t>.</w:t>
      </w:r>
      <w:proofErr w:type="gramEnd"/>
      <w:r w:rsidR="002F4ECF">
        <w:t xml:space="preserve"> The Court sustained the conviction of a North Carolina Communist Party leader who had taught classes in the martial arts as part of his Party duties, finding a connection between his teaching and the advocacy of violent revolution.</w:t>
      </w:r>
    </w:p>
    <w:p w:rsidR="00AA4541" w:rsidRDefault="00AA4541"/>
    <w:sectPr w:rsidR="00AA4541" w:rsidSect="00AA454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A4541"/>
    <w:rsid w:val="000351B6"/>
    <w:rsid w:val="002C07D7"/>
    <w:rsid w:val="002F4ECF"/>
    <w:rsid w:val="00495287"/>
    <w:rsid w:val="00517E48"/>
    <w:rsid w:val="005C21CE"/>
    <w:rsid w:val="005F5167"/>
    <w:rsid w:val="00612486"/>
    <w:rsid w:val="00771D0D"/>
    <w:rsid w:val="00A57F9A"/>
    <w:rsid w:val="00A83ED9"/>
    <w:rsid w:val="00AA4541"/>
    <w:rsid w:val="00AD2613"/>
    <w:rsid w:val="00B80641"/>
    <w:rsid w:val="00E21F9F"/>
    <w:rsid w:val="00E434EF"/>
    <w:rsid w:val="00E4364A"/>
    <w:rsid w:val="00F4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FollowedHyperlink">
    <w:name w:val="FollowedHyperlink"/>
    <w:basedOn w:val="DefaultParagraphFont"/>
    <w:rsid w:val="00E21F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1887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Levin</vt:lpstr>
    </vt:vector>
  </TitlesOfParts>
  <Company>University of Utah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Levin</dc:title>
  <dc:subject/>
  <dc:creator>Daniel Levin</dc:creator>
  <cp:keywords/>
  <dc:description/>
  <cp:lastModifiedBy>Daniel Levin</cp:lastModifiedBy>
  <cp:revision>2</cp:revision>
  <dcterms:created xsi:type="dcterms:W3CDTF">2011-01-13T03:13:00Z</dcterms:created>
  <dcterms:modified xsi:type="dcterms:W3CDTF">2011-01-13T03:13:00Z</dcterms:modified>
</cp:coreProperties>
</file>